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47437B2A" w:rsidR="00B123FF" w:rsidRPr="00455A3C" w:rsidRDefault="00A871C7" w:rsidP="00AC35C4">
      <w:pPr>
        <w:pStyle w:val="F2-zkladn"/>
        <w:rPr>
          <w:b/>
          <w:sz w:val="28"/>
          <w:szCs w:val="28"/>
        </w:rPr>
      </w:pPr>
      <w:bookmarkStart w:id="0" w:name="_Hlk104376839"/>
      <w:bookmarkEnd w:id="0"/>
      <w:r>
        <w:rPr>
          <w:b/>
          <w:sz w:val="28"/>
          <w:szCs w:val="28"/>
        </w:rPr>
        <w:t>ANALÝZA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2976CB0F"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A758E1">
        <w:t>6</w:t>
      </w:r>
      <w:r w:rsidR="00A30105" w:rsidRPr="00455A3C">
        <w:t xml:space="preserve">. </w:t>
      </w:r>
      <w:r w:rsidR="00E57B04">
        <w:t>říjen</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7CB5D2FB" w:rsidR="00303102" w:rsidRDefault="0057123D" w:rsidP="00611687">
      <w:pPr>
        <w:spacing w:after="120"/>
        <w:rPr>
          <w:b/>
          <w:sz w:val="28"/>
          <w:szCs w:val="28"/>
        </w:rPr>
      </w:pPr>
      <w:r>
        <w:rPr>
          <w:b/>
          <w:sz w:val="28"/>
          <w:szCs w:val="28"/>
        </w:rPr>
        <w:t>Fidelity International:</w:t>
      </w:r>
      <w:r w:rsidR="009C2915">
        <w:rPr>
          <w:b/>
          <w:sz w:val="28"/>
          <w:szCs w:val="28"/>
        </w:rPr>
        <w:t xml:space="preserve"> </w:t>
      </w:r>
      <w:r w:rsidR="00E57B04">
        <w:rPr>
          <w:b/>
          <w:sz w:val="28"/>
          <w:szCs w:val="28"/>
        </w:rPr>
        <w:t xml:space="preserve">Proč mohou technologie inteligentních sítí pomoci řešit čínské „zelené“ výzvy </w:t>
      </w:r>
    </w:p>
    <w:p w14:paraId="4C0D6914" w14:textId="1DA3AE78" w:rsidR="00E57B04" w:rsidRDefault="00E57B04" w:rsidP="00E57B04">
      <w:pPr>
        <w:spacing w:after="210" w:line="240" w:lineRule="auto"/>
        <w:rPr>
          <w:rFonts w:asciiTheme="minorHAnsi" w:eastAsiaTheme="minorHAnsi" w:hAnsiTheme="minorHAnsi" w:cstheme="minorBidi"/>
          <w:b/>
          <w:sz w:val="24"/>
          <w:szCs w:val="24"/>
          <w:lang w:eastAsia="en-US"/>
        </w:rPr>
      </w:pPr>
      <w:r w:rsidRPr="00E57B04">
        <w:rPr>
          <w:rFonts w:asciiTheme="minorHAnsi" w:eastAsiaTheme="minorHAnsi" w:hAnsiTheme="minorHAnsi" w:cstheme="minorBidi"/>
          <w:b/>
          <w:sz w:val="24"/>
          <w:szCs w:val="24"/>
          <w:lang w:eastAsia="en-US"/>
        </w:rPr>
        <w:t>V podmínkách, kdy se hospodářský růst zpomaluje a mění se vzorce spotřeby energie, by rostoucí čínský systém inteligentních sítí mohl pomoci najít cestu k uhlíkové neutralitě.</w:t>
      </w:r>
    </w:p>
    <w:p w14:paraId="2B68F88D" w14:textId="10DC3ABD" w:rsidR="00E57B04" w:rsidRDefault="00E57B04" w:rsidP="00E57B04">
      <w:pPr>
        <w:spacing w:after="210" w:line="276" w:lineRule="auto"/>
        <w:rPr>
          <w:color w:val="000000" w:themeColor="text1"/>
        </w:rPr>
      </w:pPr>
      <w:r w:rsidRPr="00E57B04">
        <w:rPr>
          <w:color w:val="000000" w:themeColor="text1"/>
        </w:rPr>
        <w:t xml:space="preserve">Jestliže je energie krví moderní ekonomiky, tak v Číně dochází k modernizaci tepen. Druhá největší ekonomika světa zahájila rozsáhlou kampaň na modernizaci a rozšíření své elektrické sítě, do níž plánuje během pěti let 2020-2025 investice v hodnotě 3 bilionů juanů (415 miliard USD). </w:t>
      </w:r>
    </w:p>
    <w:p w14:paraId="2C92861E" w14:textId="77777777" w:rsidR="00E57B04" w:rsidRPr="00E57B04" w:rsidRDefault="00E57B04" w:rsidP="00E57B04">
      <w:pPr>
        <w:spacing w:after="210" w:line="276" w:lineRule="auto"/>
        <w:rPr>
          <w:color w:val="000000" w:themeColor="text1"/>
        </w:rPr>
      </w:pPr>
      <w:r w:rsidRPr="00E57B04">
        <w:rPr>
          <w:color w:val="000000" w:themeColor="text1"/>
        </w:rPr>
        <w:t xml:space="preserve">Politici v Pekingu jsou odhodláni posílit systém rozvodných sítí v zemi tak, aby se stal jedním z nejrychlejších a "nejchytřejších" na světě. Vzhledem k tomu, že hospodářský růst země v jiných oblastech zpomaluje, budou projekty, jako je modernizace sítě, těžit z cílenějšího přístupu Číny ke stimulaci infrastruktury a rostoucí poptávky po ekologičtější energii. Důsledky pro investory se přitom týkají mnoha odvětví.  </w:t>
      </w:r>
    </w:p>
    <w:p w14:paraId="6BC62BFD" w14:textId="7E23FC6C" w:rsidR="00E57B04" w:rsidRDefault="00E57B04" w:rsidP="00E57B04">
      <w:pPr>
        <w:spacing w:after="210" w:line="276" w:lineRule="auto"/>
        <w:rPr>
          <w:color w:val="000000" w:themeColor="text1"/>
        </w:rPr>
      </w:pPr>
      <w:r w:rsidRPr="00E57B04">
        <w:rPr>
          <w:color w:val="000000" w:themeColor="text1"/>
        </w:rPr>
        <w:t xml:space="preserve">Inteligentní síť je síť umožňující obousměrný tok elektřiny i dat o spotřebě pomocí digitálních komunikačních a automatizačních technologií. Chytré sítě se odklánějí od tradičního způsobu přenosu „one to one“ a mohou využívat umělou inteligenci k sladění nabídky a poptávky ve více regionech. Díky velké flexibilitě mohou vyrovnávat přenos energie z obnovitelných zdrojů, jejíž dodávky jsou často velmi nestálé. </w:t>
      </w:r>
    </w:p>
    <w:p w14:paraId="4597B538" w14:textId="17038F1A" w:rsidR="00E57B04" w:rsidRPr="00E57B04" w:rsidRDefault="00E57B04" w:rsidP="00E57B04">
      <w:pPr>
        <w:spacing w:line="276" w:lineRule="auto"/>
        <w:rPr>
          <w:color w:val="000000" w:themeColor="text1"/>
        </w:rPr>
      </w:pPr>
      <w:r w:rsidRPr="00E57B04">
        <w:rPr>
          <w:color w:val="000000" w:themeColor="text1"/>
        </w:rPr>
        <w:t xml:space="preserve">Přestože čínský ekonomický výhled naráží na nepříznivé faktory, jako je snižující se spotřeba, pokles trhu s nemovitostmi, omezení související s covidem a geopolitické napětí, očekáváme, že investice do dynamických oblastí, jako jsou technologie inteligentních sítí, se stanou silným motorem hospodářského růstu. </w:t>
      </w:r>
    </w:p>
    <w:p w14:paraId="793C7B3B" w14:textId="24610E31" w:rsidR="00C24D43" w:rsidRPr="00C24D43" w:rsidRDefault="00E57B04" w:rsidP="00C24D43">
      <w:pPr>
        <w:pStyle w:val="F2-zkladn"/>
        <w:rPr>
          <w:rFonts w:eastAsiaTheme="minorHAnsi"/>
          <w:lang w:eastAsia="en-US"/>
        </w:rPr>
      </w:pPr>
      <w:r>
        <w:rPr>
          <w:rFonts w:asciiTheme="minorHAnsi" w:eastAsiaTheme="minorHAnsi" w:hAnsiTheme="minorHAnsi" w:cstheme="minorBidi"/>
          <w:b/>
          <w:sz w:val="24"/>
          <w:szCs w:val="24"/>
          <w:lang w:eastAsia="en-US"/>
        </w:rPr>
        <w:t xml:space="preserve">Ekologičtější </w:t>
      </w:r>
      <w:r w:rsidR="009524ED">
        <w:rPr>
          <w:rFonts w:asciiTheme="minorHAnsi" w:eastAsiaTheme="minorHAnsi" w:hAnsiTheme="minorHAnsi" w:cstheme="minorBidi"/>
          <w:b/>
          <w:sz w:val="24"/>
          <w:szCs w:val="24"/>
          <w:lang w:eastAsia="en-US"/>
        </w:rPr>
        <w:t>cíle</w:t>
      </w:r>
    </w:p>
    <w:p w14:paraId="25E3FF6F" w14:textId="085DB57A" w:rsidR="00A758E1" w:rsidRDefault="009524ED" w:rsidP="00A758E1">
      <w:pPr>
        <w:pStyle w:val="F2-zkladn"/>
        <w:spacing w:line="276" w:lineRule="auto"/>
        <w:rPr>
          <w:color w:val="000000" w:themeColor="text1"/>
        </w:rPr>
      </w:pPr>
      <w:r w:rsidRPr="009524ED">
        <w:rPr>
          <w:color w:val="000000" w:themeColor="text1"/>
        </w:rPr>
        <w:t>Nové investice do rozvodných sítí jsou částečně vyvolány ambiciózním cílem Číny dosáhnout do roku 2060 uhlíkové neutrality, což bude znamenat rychlý růst spotřeby nově vytvořené energie. V loňském roce země spotřebovala přibližně 1 bilion kilowatthodin energie z obnovitelných zdrojů, což představuje přibližně 12 % celkové spotřeby v zemi – více než polovina celkové spotřeby elektřiny však stále připadá na uhelné elektrárny. Podle politických směrnic vydaných Státní radou, čínským kabinetem, v rámci svého úsilí o dosažení uhlíkové neutrality Čína zvýší v příštích desetiletích podíl spotřeby zelené energie na více než 50 procent. V Evropě tvoří obnovitelné zdroje energie až čtvrtinu spotřeby elektřiny a existuje plán, jak tento podíl do roku 2050 zvýšit na 55 procent.</w:t>
      </w:r>
    </w:p>
    <w:p w14:paraId="32109C92" w14:textId="7DE613F2" w:rsidR="00A758E1" w:rsidRDefault="00A758E1" w:rsidP="00A758E1">
      <w:pPr>
        <w:pStyle w:val="F2-zkladn"/>
        <w:spacing w:line="276" w:lineRule="auto"/>
        <w:rPr>
          <w:rFonts w:asciiTheme="minorHAnsi" w:eastAsiaTheme="minorHAnsi" w:hAnsiTheme="minorHAnsi" w:cstheme="minorBidi"/>
          <w:b/>
          <w:sz w:val="24"/>
          <w:szCs w:val="24"/>
          <w:lang w:eastAsia="en-US"/>
        </w:rPr>
      </w:pPr>
      <w:r>
        <w:rPr>
          <w:noProof/>
        </w:rPr>
        <w:lastRenderedPageBreak/>
        <w:drawing>
          <wp:anchor distT="0" distB="0" distL="114300" distR="114300" simplePos="0" relativeHeight="251658240" behindDoc="0" locked="0" layoutInCell="1" allowOverlap="1" wp14:anchorId="7490D7D3" wp14:editId="731EBA61">
            <wp:simplePos x="0" y="0"/>
            <wp:positionH relativeFrom="margin">
              <wp:posOffset>-7620</wp:posOffset>
            </wp:positionH>
            <wp:positionV relativeFrom="paragraph">
              <wp:posOffset>568960</wp:posOffset>
            </wp:positionV>
            <wp:extent cx="5759450" cy="2710180"/>
            <wp:effectExtent l="0" t="0" r="0" b="0"/>
            <wp:wrapTopAndBottom/>
            <wp:docPr id="1" name="Picture 1"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unburst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59450" cy="2710180"/>
                    </a:xfrm>
                    <a:prstGeom prst="rect">
                      <a:avLst/>
                    </a:prstGeom>
                  </pic:spPr>
                </pic:pic>
              </a:graphicData>
            </a:graphic>
            <wp14:sizeRelH relativeFrom="page">
              <wp14:pctWidth>0</wp14:pctWidth>
            </wp14:sizeRelH>
            <wp14:sizeRelV relativeFrom="page">
              <wp14:pctHeight>0</wp14:pctHeight>
            </wp14:sizeRelV>
          </wp:anchor>
        </w:drawing>
      </w:r>
      <w:r w:rsidRPr="00A758E1">
        <w:rPr>
          <w:rFonts w:asciiTheme="minorHAnsi" w:eastAsiaTheme="minorHAnsi" w:hAnsiTheme="minorHAnsi" w:cstheme="minorBidi"/>
          <w:b/>
          <w:sz w:val="24"/>
          <w:szCs w:val="24"/>
          <w:lang w:eastAsia="en-US"/>
        </w:rPr>
        <w:t xml:space="preserve"> </w:t>
      </w:r>
      <w:r>
        <w:rPr>
          <w:rFonts w:asciiTheme="minorHAnsi" w:eastAsiaTheme="minorHAnsi" w:hAnsiTheme="minorHAnsi" w:cstheme="minorBidi"/>
          <w:b/>
          <w:sz w:val="24"/>
          <w:szCs w:val="24"/>
          <w:lang w:eastAsia="en-US"/>
        </w:rPr>
        <w:t>Graf: Klíčové části nové čínské infrastruktury na základě 14. pětiletého plánu</w:t>
      </w:r>
    </w:p>
    <w:p w14:paraId="00E10647" w14:textId="2F02450E" w:rsidR="009524ED" w:rsidRDefault="009524ED" w:rsidP="009524ED">
      <w:pPr>
        <w:spacing w:line="276" w:lineRule="auto"/>
        <w:rPr>
          <w:color w:val="000000" w:themeColor="text1"/>
        </w:rPr>
      </w:pPr>
    </w:p>
    <w:p w14:paraId="7293FAFC" w14:textId="3E64315F" w:rsidR="00A758E1" w:rsidRPr="00A871C7" w:rsidRDefault="00A758E1" w:rsidP="00A758E1">
      <w:pPr>
        <w:pStyle w:val="F2-zkladn"/>
        <w:jc w:val="right"/>
        <w:rPr>
          <w:color w:val="000000" w:themeColor="text1"/>
        </w:rPr>
      </w:pPr>
      <w:r w:rsidRPr="00A871C7">
        <w:rPr>
          <w:color w:val="000000" w:themeColor="text1"/>
        </w:rPr>
        <w:t xml:space="preserve">Zdroj: </w:t>
      </w:r>
      <w:r w:rsidR="00A871C7" w:rsidRPr="00A871C7">
        <w:rPr>
          <w:color w:val="000000" w:themeColor="text1"/>
        </w:rPr>
        <w:t xml:space="preserve">Goldman Sachs, </w:t>
      </w:r>
      <w:r w:rsidRPr="00A871C7">
        <w:rPr>
          <w:color w:val="000000" w:themeColor="text1"/>
        </w:rPr>
        <w:t>Fidelity International</w:t>
      </w:r>
    </w:p>
    <w:p w14:paraId="51CBC2D7" w14:textId="4C1CCC7E" w:rsidR="009524ED" w:rsidRPr="009524ED" w:rsidRDefault="009524ED" w:rsidP="009524ED">
      <w:pPr>
        <w:spacing w:line="276" w:lineRule="auto"/>
        <w:rPr>
          <w:color w:val="000000" w:themeColor="text1"/>
        </w:rPr>
      </w:pPr>
      <w:r w:rsidRPr="009524ED">
        <w:rPr>
          <w:color w:val="000000" w:themeColor="text1"/>
        </w:rPr>
        <w:t>V Číně, kde se rozšiřuje větrná a solární energie, představuje tento relativně volatilní přísun energie vážnou výzvu pro tradiční sítě, které jsou obvykle navrženy pro přenos stabilní energie z uhlí. Umístění větrných a solárních elektráren daleko od center, kde je poptávka po energii největší, také zvyšuje potřebu modernizace čínských sítí, aby se zajistil účinnější přenos, skladování a rozdělování elektřiny.</w:t>
      </w:r>
    </w:p>
    <w:p w14:paraId="36ECDF0C" w14:textId="2A6BDDE0" w:rsidR="009524ED" w:rsidRDefault="009524ED" w:rsidP="009524ED">
      <w:pPr>
        <w:pStyle w:val="F2-zkladn"/>
        <w:spacing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Síťové efekty</w:t>
      </w:r>
    </w:p>
    <w:p w14:paraId="1739CB73" w14:textId="67B5A681" w:rsidR="009524ED" w:rsidRDefault="009524ED" w:rsidP="009524ED">
      <w:pPr>
        <w:spacing w:line="276" w:lineRule="auto"/>
        <w:rPr>
          <w:color w:val="000000" w:themeColor="text1"/>
        </w:rPr>
      </w:pPr>
      <w:r w:rsidRPr="009524ED">
        <w:rPr>
          <w:color w:val="000000" w:themeColor="text1"/>
        </w:rPr>
        <w:t>V reakci na to navrhli čínští architekti sítí systémy umělé inteligence pro monitorování a směrování elektřiny podle kolísání dodávek. Tyto sítě řízené umělou inteligencí mohou také komunikovat s velkými spotřebiteli elektřiny a přizpůsobovat se jejich měnícím se potřebám. Podle World Intellectual Property Organization se největší čínský provozovatel rozvodných sítí, společnost State Grid Corporation, v posledních letech zařadil mezi globálně nejvýznamnější žadatele o patenty v oblasti umělé inteligence, čímž se téměř vyrovnal světovým technologickým gigantům, jako jsou IBM, Microsoft, Toshiba a Samsung.</w:t>
      </w:r>
    </w:p>
    <w:p w14:paraId="42C6C339" w14:textId="6749944B" w:rsidR="009524ED" w:rsidRDefault="009524ED" w:rsidP="009524ED">
      <w:pPr>
        <w:spacing w:line="276" w:lineRule="auto"/>
        <w:rPr>
          <w:color w:val="000000" w:themeColor="text1"/>
        </w:rPr>
      </w:pPr>
      <w:r w:rsidRPr="009524ED">
        <w:rPr>
          <w:color w:val="000000" w:themeColor="text1"/>
        </w:rPr>
        <w:t>Čína rovněž vyvinula špičkové technologie pro přenos na velké vzdálenosti při ultra vysokém napětí (UHV), které jsou nesrovnatelné se sítěmi v západních zemích. Nejnovější sítě UHV v Číně mohou přenášet stejnosměrný proud o napětí až 1 300 kilovoltů, což je mnohem více než nejvyšší napětí v Evropě. V současné době má čínské vedení UHV celkovou délku více než 40 000 km a rychle se prodlužuje.</w:t>
      </w:r>
    </w:p>
    <w:p w14:paraId="7C379AE6" w14:textId="0E51924B" w:rsidR="009524ED" w:rsidRDefault="009524ED" w:rsidP="009524ED">
      <w:pPr>
        <w:spacing w:line="276" w:lineRule="auto"/>
        <w:rPr>
          <w:color w:val="000000" w:themeColor="text1"/>
        </w:rPr>
      </w:pPr>
      <w:r w:rsidRPr="009524ED">
        <w:rPr>
          <w:color w:val="000000" w:themeColor="text1"/>
        </w:rPr>
        <w:t>V sítích UHV se výrazně zlepšila účinnost přenosu, což pomáhá snižovat nerovnováhu mezi nabídkou a poptávkou po nové energii v Číně. Na rozdíl od Evropy, kde lze často velkou část energie z obnovitelných zdrojů spotřebovat na místě, musí Čína vyrovnávat většinu poptávky ve svých východních provincií nabídkou pocházející ze západních částí země. Větrná a solární energie putuje až 3 000 km z odlehlých vnitrozemských oblastí do ekonomických center na východním a jižním pobřeží země.</w:t>
      </w:r>
    </w:p>
    <w:p w14:paraId="6A6605BC" w14:textId="77777777" w:rsidR="00A758E1" w:rsidRPr="00A758E1" w:rsidRDefault="00A758E1" w:rsidP="00A758E1">
      <w:pPr>
        <w:pStyle w:val="F2-zkladn"/>
      </w:pPr>
    </w:p>
    <w:p w14:paraId="2538D1B4" w14:textId="43350222" w:rsidR="009524ED" w:rsidRDefault="009524ED" w:rsidP="009524ED">
      <w:pPr>
        <w:pStyle w:val="F2-zkladn"/>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lastRenderedPageBreak/>
        <w:t>Nový ekosystém</w:t>
      </w:r>
    </w:p>
    <w:p w14:paraId="002D5F03" w14:textId="772C2166" w:rsidR="009524ED" w:rsidRDefault="009524ED" w:rsidP="009524ED">
      <w:pPr>
        <w:rPr>
          <w:color w:val="000000" w:themeColor="text1"/>
        </w:rPr>
      </w:pPr>
      <w:r w:rsidRPr="009524ED">
        <w:rPr>
          <w:color w:val="000000" w:themeColor="text1"/>
        </w:rPr>
        <w:t xml:space="preserve">S rozšiřováním sítí vzniká nové odvětví v hodnotě několika miliard dolarů, které se zabývá navrhováním sítí, jejich inovacemi, výstavbou a údržbou. Mezi společnosti, které z nových investic těží, patří provozovatelé sítí, stavitelé, poskytovatelé technologií a dodavatelé klíčových materiálů a komponent. Mnohé z nich zapadají do představ o udržitelných investicích v Číně, kde se společnosti související s rozvodnými sítěmi mohou stát klíčovými pomocníky v úsilí o dosažení uhlíkové neutrality. Díky rostoucím investicím a silné politické podpoře jsou navíc tyto firmy připraveny zůstat odolné vůči tlaku faktorů, jako je oslabení spotřebitelské poptávky a pokles trhu s nemovitostmi. </w:t>
      </w:r>
    </w:p>
    <w:p w14:paraId="2174F665" w14:textId="07A55936" w:rsidR="009524ED" w:rsidRDefault="009524ED" w:rsidP="009524ED">
      <w:pPr>
        <w:rPr>
          <w:i/>
          <w:iCs/>
          <w:color w:val="000000" w:themeColor="text1"/>
        </w:rPr>
      </w:pPr>
      <w:r w:rsidRPr="009524ED">
        <w:rPr>
          <w:color w:val="000000" w:themeColor="text1"/>
        </w:rPr>
        <w:t xml:space="preserve">Jako každá nová technologie má samozřejmě i zavádění inteligentních sítí v Číně možná úskalí. Stejně jako u mnoha jiných rozsáhlých průmyslových projektů, kde hlavní roli hrají státem řízené investice, by investoři měli být ostražití vůči rizikům, včetně nadměrných investic a nesprávného rozdělení zdrojů. </w:t>
      </w:r>
      <w:r w:rsidRPr="009524ED">
        <w:rPr>
          <w:i/>
          <w:iCs/>
          <w:color w:val="000000" w:themeColor="text1"/>
        </w:rPr>
        <w:t>„Domníváme se, že rozšíření inteligentních sítí v Číně je podpořeno poptávkou po obnovitelných zdrojích energie. Z tohoto pohledu spočívá klíčová výhoda v čínském přístupu shora dolů, a v rychlosti realizace, přičemž stanovení národních priorit pomáhá odstranit překážky mezi regiony a umožňuje Číně dokončit během několika let to, co by mnoha jiným zemím trvalo desítky let</w:t>
      </w:r>
      <w:r w:rsidR="001E6B73">
        <w:rPr>
          <w:i/>
          <w:iCs/>
          <w:color w:val="000000" w:themeColor="text1"/>
        </w:rPr>
        <w:t>,</w:t>
      </w:r>
      <w:r w:rsidRPr="009524ED">
        <w:rPr>
          <w:i/>
          <w:iCs/>
          <w:color w:val="000000" w:themeColor="text1"/>
        </w:rPr>
        <w:t>“</w:t>
      </w:r>
      <w:r w:rsidR="001E6B73">
        <w:rPr>
          <w:i/>
          <w:iCs/>
          <w:color w:val="000000" w:themeColor="text1"/>
        </w:rPr>
        <w:t xml:space="preserve"> </w:t>
      </w:r>
      <w:r w:rsidR="001E6B73" w:rsidRPr="001E6B73">
        <w:rPr>
          <w:color w:val="000000" w:themeColor="text1"/>
        </w:rPr>
        <w:t xml:space="preserve">vysvětluje Victoria </w:t>
      </w:r>
      <w:proofErr w:type="spellStart"/>
      <w:r w:rsidR="001E6B73" w:rsidRPr="001E6B73">
        <w:rPr>
          <w:color w:val="000000" w:themeColor="text1"/>
        </w:rPr>
        <w:t>Mio</w:t>
      </w:r>
      <w:proofErr w:type="spellEnd"/>
      <w:r w:rsidR="001E6B73" w:rsidRPr="001E6B73">
        <w:rPr>
          <w:color w:val="000000" w:themeColor="text1"/>
        </w:rPr>
        <w:t>, ředitelka oddělení asijských akcií Fidelity International.</w:t>
      </w:r>
    </w:p>
    <w:p w14:paraId="7773E045" w14:textId="58ECF143" w:rsidR="009524ED" w:rsidRPr="009524ED" w:rsidRDefault="009524ED" w:rsidP="009524ED">
      <w:pPr>
        <w:rPr>
          <w:i/>
          <w:iCs/>
          <w:color w:val="000000" w:themeColor="text1"/>
        </w:rPr>
      </w:pPr>
      <w:r w:rsidRPr="009524ED">
        <w:rPr>
          <w:i/>
          <w:iCs/>
          <w:color w:val="000000" w:themeColor="text1"/>
        </w:rPr>
        <w:t>„Do budoucna se sice soustředíme hlavně na příležitosti doma, ale domníváme se, že některé z čínských firem, které jsou v oblasti inteligentních sítí na vzestupu, mají potenciál stát se silnými vývozci, protože země začíná prodávat technologie a zařízení sítí do zahraničí. Společnost State Grid již zahájila výstavbu vedení UHV v Brazílii, zatímco China Southern Grid, druhý největší provozovatel sítě v zemi, má na starosti projekt konvertorové stanice na Filipínách. V Evropě se čínští státní giganti podílejí jako investoři v několika projektech rozvodných sítí, protože se snaží proniknout na rozvinuté trhy. Budoucnost čínských technologií inteligentních sítí vypadá slibně</w:t>
      </w:r>
      <w:r w:rsidR="001E6B73">
        <w:rPr>
          <w:i/>
          <w:iCs/>
          <w:color w:val="000000" w:themeColor="text1"/>
        </w:rPr>
        <w:t>,</w:t>
      </w:r>
      <w:r w:rsidRPr="009524ED">
        <w:rPr>
          <w:i/>
          <w:iCs/>
          <w:color w:val="000000" w:themeColor="text1"/>
        </w:rPr>
        <w:t>“</w:t>
      </w:r>
      <w:r w:rsidR="001E6B73">
        <w:rPr>
          <w:i/>
          <w:iCs/>
          <w:color w:val="000000" w:themeColor="text1"/>
        </w:rPr>
        <w:t xml:space="preserve"> </w:t>
      </w:r>
      <w:r w:rsidR="001E6B73" w:rsidRPr="001E6B73">
        <w:rPr>
          <w:color w:val="000000" w:themeColor="text1"/>
        </w:rPr>
        <w:t xml:space="preserve">uzavírá Victoria </w:t>
      </w:r>
      <w:proofErr w:type="spellStart"/>
      <w:r w:rsidR="001E6B73" w:rsidRPr="001E6B73">
        <w:rPr>
          <w:color w:val="000000" w:themeColor="text1"/>
        </w:rPr>
        <w:t>Mio</w:t>
      </w:r>
      <w:proofErr w:type="spellEnd"/>
      <w:r w:rsidR="001E6B73" w:rsidRPr="001E6B73">
        <w:rPr>
          <w:color w:val="000000" w:themeColor="text1"/>
        </w:rPr>
        <w:t>.</w:t>
      </w:r>
    </w:p>
    <w:p w14:paraId="2B8083A7" w14:textId="77777777" w:rsidR="009524ED" w:rsidRDefault="009524ED" w:rsidP="00725052">
      <w:pPr>
        <w:spacing w:line="240" w:lineRule="auto"/>
        <w:rPr>
          <w:b/>
        </w:rPr>
      </w:pPr>
    </w:p>
    <w:p w14:paraId="277BA5CD" w14:textId="49A3C9C6"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4E346D8E" w14:textId="4A4AA54B" w:rsidR="00841B72" w:rsidRPr="00505FAA" w:rsidRDefault="00D404D5" w:rsidP="00505FAA">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w:t>
      </w:r>
      <w:r w:rsidRPr="00D404D5">
        <w:rPr>
          <w:color w:val="000000"/>
          <w:lang w:eastAsia="en-US"/>
        </w:rPr>
        <w:lastRenderedPageBreak/>
        <w:t>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w:t>
      </w:r>
      <w:r>
        <w:lastRenderedPageBreak/>
        <w:t>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7A50AC41" w14:textId="565AF47C" w:rsidR="00B42703" w:rsidRPr="00D61AA5" w:rsidRDefault="008E4724" w:rsidP="00424771">
      <w:pPr>
        <w:pStyle w:val="F2-zkladn"/>
        <w:rPr>
          <w:color w:val="20242B"/>
          <w:shd w:val="clear" w:color="auto" w:fill="FFFFFF"/>
        </w:rPr>
      </w:pPr>
      <w:r>
        <w:rPr>
          <w:color w:val="20242B"/>
          <w:shd w:val="clear" w:color="auto" w:fill="FFFFFF"/>
        </w:rPr>
        <w:t>MKAT</w:t>
      </w:r>
      <w:r w:rsidRPr="008E4724">
        <w:rPr>
          <w:color w:val="20242B"/>
          <w:shd w:val="clear" w:color="auto" w:fill="FFFFFF"/>
        </w:rPr>
        <w:t>10887</w:t>
      </w:r>
    </w:p>
    <w:sectPr w:rsidR="00B42703" w:rsidRPr="00D61AA5"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977F" w14:textId="77777777" w:rsidR="00BB6CAB" w:rsidRDefault="00BB6CAB">
      <w:r>
        <w:separator/>
      </w:r>
    </w:p>
  </w:endnote>
  <w:endnote w:type="continuationSeparator" w:id="0">
    <w:p w14:paraId="376E3735" w14:textId="77777777" w:rsidR="00BB6CAB" w:rsidRDefault="00BB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A20E" w14:textId="77777777" w:rsidR="00BB6CAB" w:rsidRDefault="00BB6CAB">
      <w:r>
        <w:separator/>
      </w:r>
    </w:p>
  </w:footnote>
  <w:footnote w:type="continuationSeparator" w:id="0">
    <w:p w14:paraId="73FB9A1E" w14:textId="77777777" w:rsidR="00BB6CAB" w:rsidRDefault="00BB6CAB">
      <w:r>
        <w:continuationSeparator/>
      </w:r>
    </w:p>
  </w:footnote>
  <w:footnote w:type="continuationNotice" w:id="1">
    <w:p w14:paraId="3DA9A50B" w14:textId="77777777" w:rsidR="00BB6CAB" w:rsidRDefault="00BB6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05555048">
    <w:abstractNumId w:val="14"/>
  </w:num>
  <w:num w:numId="2" w16cid:durableId="12075037">
    <w:abstractNumId w:val="20"/>
  </w:num>
  <w:num w:numId="3" w16cid:durableId="323751327">
    <w:abstractNumId w:val="22"/>
  </w:num>
  <w:num w:numId="4" w16cid:durableId="540820570">
    <w:abstractNumId w:val="16"/>
  </w:num>
  <w:num w:numId="5" w16cid:durableId="998538479">
    <w:abstractNumId w:val="17"/>
  </w:num>
  <w:num w:numId="6" w16cid:durableId="2102292511">
    <w:abstractNumId w:val="15"/>
  </w:num>
  <w:num w:numId="7" w16cid:durableId="993610345">
    <w:abstractNumId w:val="21"/>
  </w:num>
  <w:num w:numId="8" w16cid:durableId="911815456">
    <w:abstractNumId w:val="18"/>
  </w:num>
  <w:num w:numId="9" w16cid:durableId="1442844113">
    <w:abstractNumId w:val="8"/>
  </w:num>
  <w:num w:numId="10" w16cid:durableId="539324473">
    <w:abstractNumId w:val="3"/>
  </w:num>
  <w:num w:numId="11" w16cid:durableId="443501334">
    <w:abstractNumId w:val="2"/>
  </w:num>
  <w:num w:numId="12" w16cid:durableId="1453019310">
    <w:abstractNumId w:val="1"/>
  </w:num>
  <w:num w:numId="13" w16cid:durableId="562066234">
    <w:abstractNumId w:val="0"/>
  </w:num>
  <w:num w:numId="14" w16cid:durableId="964312329">
    <w:abstractNumId w:val="11"/>
  </w:num>
  <w:num w:numId="15" w16cid:durableId="1445080992">
    <w:abstractNumId w:val="9"/>
  </w:num>
  <w:num w:numId="16" w16cid:durableId="1412893064">
    <w:abstractNumId w:val="7"/>
  </w:num>
  <w:num w:numId="17" w16cid:durableId="1603106785">
    <w:abstractNumId w:val="6"/>
  </w:num>
  <w:num w:numId="18" w16cid:durableId="1867719579">
    <w:abstractNumId w:val="5"/>
  </w:num>
  <w:num w:numId="19" w16cid:durableId="2056268632">
    <w:abstractNumId w:val="4"/>
  </w:num>
  <w:num w:numId="20" w16cid:durableId="641545487">
    <w:abstractNumId w:val="13"/>
  </w:num>
  <w:num w:numId="21" w16cid:durableId="1674379404">
    <w:abstractNumId w:val="19"/>
  </w:num>
  <w:num w:numId="22" w16cid:durableId="1213156676">
    <w:abstractNumId w:val="12"/>
  </w:num>
  <w:num w:numId="23" w16cid:durableId="13823614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CAF"/>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E6B73"/>
    <w:rsid w:val="001F2C9A"/>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ABA"/>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B7901"/>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C9"/>
    <w:rsid w:val="00391EEB"/>
    <w:rsid w:val="00394B7B"/>
    <w:rsid w:val="00395B87"/>
    <w:rsid w:val="00397E34"/>
    <w:rsid w:val="003A0565"/>
    <w:rsid w:val="003A0BB4"/>
    <w:rsid w:val="003A2CC7"/>
    <w:rsid w:val="003A415C"/>
    <w:rsid w:val="003A68DD"/>
    <w:rsid w:val="003A75FD"/>
    <w:rsid w:val="003A7DAF"/>
    <w:rsid w:val="003B24CE"/>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4724"/>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24ED"/>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58E1"/>
    <w:rsid w:val="00A7627C"/>
    <w:rsid w:val="00A81405"/>
    <w:rsid w:val="00A82FF0"/>
    <w:rsid w:val="00A871C7"/>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6525"/>
    <w:rsid w:val="00B97C18"/>
    <w:rsid w:val="00B97EC1"/>
    <w:rsid w:val="00BA1692"/>
    <w:rsid w:val="00BA1BBA"/>
    <w:rsid w:val="00BA2267"/>
    <w:rsid w:val="00BA2E58"/>
    <w:rsid w:val="00BA54F1"/>
    <w:rsid w:val="00BB07FC"/>
    <w:rsid w:val="00BB0B67"/>
    <w:rsid w:val="00BB2970"/>
    <w:rsid w:val="00BB6CAB"/>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567F"/>
    <w:rsid w:val="00D07F62"/>
    <w:rsid w:val="00D10B90"/>
    <w:rsid w:val="00D113F1"/>
    <w:rsid w:val="00D118DA"/>
    <w:rsid w:val="00D12387"/>
    <w:rsid w:val="00D13663"/>
    <w:rsid w:val="00D13E3F"/>
    <w:rsid w:val="00D149A1"/>
    <w:rsid w:val="00D17B15"/>
    <w:rsid w:val="00D20884"/>
    <w:rsid w:val="00D20D3E"/>
    <w:rsid w:val="00D22687"/>
    <w:rsid w:val="00D260E2"/>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B04"/>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309B"/>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10189</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Dokument</vt:lpstr>
      <vt:lpstr>Dokument</vt:lpstr>
    </vt:vector>
  </TitlesOfParts>
  <Company>TPA-NOTIA, s.r.o.</Company>
  <LinksUpToDate>false</LinksUpToDate>
  <CharactersWithSpaces>11892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2022-10-06T11:03:00Z</dcterms:created>
  <dcterms:modified xsi:type="dcterms:W3CDTF">2022-10-06T11:03:00Z</dcterms:modified>
</cp:coreProperties>
</file>